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ED" w:rsidRDefault="005F73B0">
      <w:pPr>
        <w:rPr>
          <w:b/>
          <w:sz w:val="32"/>
          <w:szCs w:val="32"/>
          <w:u w:val="single"/>
        </w:rPr>
      </w:pPr>
      <w:r w:rsidRPr="005F73B0">
        <w:rPr>
          <w:b/>
          <w:sz w:val="32"/>
          <w:szCs w:val="32"/>
          <w:u w:val="single"/>
        </w:rPr>
        <w:t>Private Mortgage Insurance (PMI) explained</w:t>
      </w:r>
    </w:p>
    <w:p w:rsidR="005F73B0" w:rsidRPr="005F73B0" w:rsidRDefault="005F73B0" w:rsidP="005F73B0">
      <w:pPr>
        <w:shd w:val="clear" w:color="auto" w:fill="FFFFFF"/>
        <w:spacing w:after="0" w:line="240" w:lineRule="auto"/>
        <w:outlineLvl w:val="0"/>
        <w:rPr>
          <w:rFonts w:ascii="Arial" w:eastAsia="Times New Roman" w:hAnsi="Arial" w:cs="Arial"/>
          <w:color w:val="000000"/>
          <w:kern w:val="36"/>
          <w:sz w:val="48"/>
          <w:szCs w:val="48"/>
        </w:rPr>
      </w:pPr>
      <w:r w:rsidRPr="005F73B0">
        <w:rPr>
          <w:rFonts w:ascii="Arial" w:eastAsia="Times New Roman" w:hAnsi="Arial" w:cs="Arial"/>
          <w:color w:val="000000"/>
          <w:kern w:val="36"/>
          <w:sz w:val="48"/>
          <w:szCs w:val="48"/>
        </w:rPr>
        <w:t>What is mortgage insurance?</w:t>
      </w:r>
    </w:p>
    <w:bookmarkStart w:id="0" w:name="_GoBack"/>
    <w:bookmarkEnd w:id="0"/>
    <w:p w:rsidR="005F73B0" w:rsidRPr="005F73B0" w:rsidRDefault="00C621F7" w:rsidP="005F73B0">
      <w:pPr>
        <w:shd w:val="clear" w:color="auto" w:fill="FFFFFF"/>
        <w:spacing w:after="0" w:line="300" w:lineRule="atLeast"/>
        <w:rPr>
          <w:rFonts w:ascii="Arial" w:eastAsia="Times New Roman" w:hAnsi="Arial" w:cs="Arial"/>
          <w:color w:val="666666"/>
        </w:rPr>
      </w:pPr>
      <w:r>
        <w:fldChar w:fldCharType="begin"/>
      </w:r>
      <w:r>
        <w:instrText xml:space="preserve"> HYPERLINK "https://www.hsh.com/press-room/author/keith-gumbinger.html" </w:instrText>
      </w:r>
      <w:r>
        <w:fldChar w:fldCharType="separate"/>
      </w:r>
      <w:r w:rsidR="005F73B0" w:rsidRPr="005F73B0">
        <w:rPr>
          <w:rFonts w:ascii="Arial" w:eastAsia="Times New Roman" w:hAnsi="Arial" w:cs="Arial"/>
          <w:b/>
          <w:bCs/>
          <w:color w:val="0593C7"/>
        </w:rPr>
        <w:t xml:space="preserve">Keith </w:t>
      </w:r>
      <w:proofErr w:type="spellStart"/>
      <w:r w:rsidR="005F73B0" w:rsidRPr="005F73B0">
        <w:rPr>
          <w:rFonts w:ascii="Arial" w:eastAsia="Times New Roman" w:hAnsi="Arial" w:cs="Arial"/>
          <w:b/>
          <w:bCs/>
          <w:color w:val="0593C7"/>
        </w:rPr>
        <w:t>Gumbinger</w:t>
      </w:r>
      <w:proofErr w:type="spellEnd"/>
      <w:r>
        <w:rPr>
          <w:rFonts w:ascii="Arial" w:eastAsia="Times New Roman" w:hAnsi="Arial" w:cs="Arial"/>
          <w:b/>
          <w:bCs/>
          <w:color w:val="0593C7"/>
        </w:rPr>
        <w:fldChar w:fldCharType="end"/>
      </w:r>
      <w:r w:rsidR="005F73B0" w:rsidRPr="005F73B0">
        <w:rPr>
          <w:rFonts w:ascii="Arial" w:eastAsia="Times New Roman" w:hAnsi="Arial" w:cs="Arial"/>
          <w:color w:val="666666"/>
        </w:rPr>
        <w:t>    HSH.com</w:t>
      </w:r>
    </w:p>
    <w:p w:rsidR="005F73B0" w:rsidRPr="005F73B0" w:rsidRDefault="005F73B0" w:rsidP="005F73B0">
      <w:pPr>
        <w:shd w:val="clear" w:color="auto" w:fill="FFFFFF"/>
        <w:spacing w:before="100" w:beforeAutospacing="1" w:after="100" w:afterAutospacing="1" w:line="240" w:lineRule="auto"/>
        <w:rPr>
          <w:rFonts w:ascii="Arial" w:eastAsia="Times New Roman" w:hAnsi="Arial" w:cs="Arial"/>
          <w:color w:val="666666"/>
        </w:rPr>
      </w:pPr>
      <w:r w:rsidRPr="005F73B0">
        <w:rPr>
          <w:rFonts w:ascii="Arial" w:eastAsia="Times New Roman" w:hAnsi="Arial" w:cs="Arial"/>
          <w:color w:val="666666"/>
        </w:rPr>
        <w:t>Whether it's called “private mortgage insurance” (PMI) or just plain “mortgage insurance” (MI), mortgage insurance is an insurance policy which protects the lender in the event that you, the borrower, fail to make your mortgage payments. You pay for a policy as an inducement for the lender to offer you financing.</w:t>
      </w:r>
    </w:p>
    <w:p w:rsidR="005F73B0" w:rsidRPr="005F73B0" w:rsidRDefault="005F73B0" w:rsidP="005F73B0">
      <w:pPr>
        <w:shd w:val="clear" w:color="auto" w:fill="FFFFFF"/>
        <w:spacing w:before="100" w:beforeAutospacing="1" w:after="100" w:afterAutospacing="1" w:line="240" w:lineRule="auto"/>
        <w:rPr>
          <w:rFonts w:ascii="Arial" w:eastAsia="Times New Roman" w:hAnsi="Arial" w:cs="Arial"/>
          <w:color w:val="666666"/>
        </w:rPr>
      </w:pPr>
      <w:r w:rsidRPr="005F73B0">
        <w:rPr>
          <w:rFonts w:ascii="Arial" w:eastAsia="Times New Roman" w:hAnsi="Arial" w:cs="Arial"/>
          <w:color w:val="666666"/>
        </w:rPr>
        <w:t>Don't confuse PMI with credit life insurance. Mortgage insurance won't pay your mortgage each month should you become disabled, unemployed or deceased, and pays nothing to you or any of your beneficiaries.</w:t>
      </w:r>
    </w:p>
    <w:p w:rsidR="005F73B0" w:rsidRDefault="005F73B0">
      <w:pPr>
        <w:rPr>
          <w:rFonts w:ascii="Arial" w:hAnsi="Arial" w:cs="Arial"/>
          <w:color w:val="666666"/>
          <w:shd w:val="clear" w:color="auto" w:fill="FFFFFF"/>
        </w:rPr>
      </w:pPr>
      <w:r w:rsidRPr="005F73B0">
        <w:rPr>
          <w:rFonts w:ascii="Arial" w:hAnsi="Arial" w:cs="Arial"/>
          <w:color w:val="666666"/>
          <w:shd w:val="clear" w:color="auto" w:fill="FFFFFF"/>
        </w:rPr>
        <w:t>Almost all borrowers who have less than a 20 percent down payment or equity stake will be required to have an MI policy in place as a condition of funding their mortgage.</w:t>
      </w:r>
    </w:p>
    <w:p w:rsidR="00782E45" w:rsidRPr="00782E45" w:rsidRDefault="00782E45">
      <w:pPr>
        <w:rPr>
          <w:rFonts w:ascii="Arial" w:hAnsi="Arial" w:cs="Arial"/>
          <w:b/>
          <w:color w:val="666666"/>
          <w:shd w:val="clear" w:color="auto" w:fill="FFFFFF"/>
        </w:rPr>
      </w:pPr>
      <w:r w:rsidRPr="00782E45">
        <w:rPr>
          <w:rFonts w:ascii="Arial" w:hAnsi="Arial" w:cs="Arial"/>
          <w:b/>
          <w:color w:val="666666"/>
          <w:shd w:val="clear" w:color="auto" w:fill="FFFFFF"/>
        </w:rPr>
        <w:t>Superior Credit (760+)</w:t>
      </w:r>
    </w:p>
    <w:p w:rsidR="00782E45" w:rsidRDefault="00782E45">
      <w:pPr>
        <w:rPr>
          <w:rFonts w:ascii="Arial" w:hAnsi="Arial" w:cs="Arial"/>
          <w:color w:val="666666"/>
          <w:shd w:val="clear" w:color="auto" w:fill="FFFFFF"/>
        </w:rPr>
      </w:pPr>
      <w:r>
        <w:rPr>
          <w:noProof/>
        </w:rPr>
        <w:drawing>
          <wp:inline distT="0" distB="0" distL="0" distR="0" wp14:anchorId="00CED060" wp14:editId="1F2F73DA">
            <wp:extent cx="5838825" cy="3476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38825" cy="3476625"/>
                    </a:xfrm>
                    <a:prstGeom prst="rect">
                      <a:avLst/>
                    </a:prstGeom>
                  </pic:spPr>
                </pic:pic>
              </a:graphicData>
            </a:graphic>
          </wp:inline>
        </w:drawing>
      </w:r>
    </w:p>
    <w:p w:rsidR="00782E45" w:rsidRDefault="00782E45">
      <w:pPr>
        <w:rPr>
          <w:rFonts w:ascii="Arial" w:hAnsi="Arial" w:cs="Arial"/>
          <w:color w:val="666666"/>
          <w:shd w:val="clear" w:color="auto" w:fill="FFFFFF"/>
        </w:rPr>
      </w:pPr>
      <w:r>
        <w:rPr>
          <w:noProof/>
        </w:rPr>
        <w:drawing>
          <wp:inline distT="0" distB="0" distL="0" distR="0" wp14:anchorId="225CFBB0" wp14:editId="3A2510CD">
            <wp:extent cx="578167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81675" cy="1781175"/>
                    </a:xfrm>
                    <a:prstGeom prst="rect">
                      <a:avLst/>
                    </a:prstGeom>
                  </pic:spPr>
                </pic:pic>
              </a:graphicData>
            </a:graphic>
          </wp:inline>
        </w:drawing>
      </w:r>
    </w:p>
    <w:p w:rsidR="00782E45" w:rsidRDefault="00782E45">
      <w:pPr>
        <w:rPr>
          <w:rFonts w:ascii="Arial" w:hAnsi="Arial" w:cs="Arial"/>
          <w:color w:val="666666"/>
          <w:shd w:val="clear" w:color="auto" w:fill="FFFFFF"/>
        </w:rPr>
      </w:pPr>
    </w:p>
    <w:p w:rsidR="00782E45" w:rsidRDefault="00782E45">
      <w:pPr>
        <w:rPr>
          <w:rFonts w:ascii="Arial" w:hAnsi="Arial" w:cs="Arial"/>
          <w:color w:val="666666"/>
          <w:shd w:val="clear" w:color="auto" w:fill="FFFFFF"/>
        </w:rPr>
      </w:pPr>
    </w:p>
    <w:p w:rsidR="00782E45" w:rsidRPr="00782E45" w:rsidRDefault="00782E45">
      <w:pPr>
        <w:rPr>
          <w:rFonts w:ascii="Arial" w:hAnsi="Arial" w:cs="Arial"/>
          <w:b/>
          <w:noProof/>
          <w:u w:val="single"/>
        </w:rPr>
      </w:pPr>
      <w:r w:rsidRPr="00782E45">
        <w:rPr>
          <w:rFonts w:ascii="Arial" w:hAnsi="Arial" w:cs="Arial"/>
          <w:b/>
          <w:color w:val="666666"/>
          <w:u w:val="single"/>
          <w:shd w:val="clear" w:color="auto" w:fill="FFFFFF"/>
        </w:rPr>
        <w:lastRenderedPageBreak/>
        <w:t>Fair Credit – (700-719)</w:t>
      </w:r>
    </w:p>
    <w:p w:rsidR="005F73B0" w:rsidRDefault="005F73B0">
      <w:pPr>
        <w:rPr>
          <w:b/>
          <w:sz w:val="32"/>
          <w:szCs w:val="32"/>
          <w:u w:val="single"/>
        </w:rPr>
      </w:pPr>
      <w:r>
        <w:rPr>
          <w:noProof/>
        </w:rPr>
        <w:drawing>
          <wp:inline distT="0" distB="0" distL="0" distR="0" wp14:anchorId="3DC8CAAC" wp14:editId="11387AE1">
            <wp:extent cx="4781550" cy="239729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81550" cy="2397296"/>
                    </a:xfrm>
                    <a:prstGeom prst="rect">
                      <a:avLst/>
                    </a:prstGeom>
                  </pic:spPr>
                </pic:pic>
              </a:graphicData>
            </a:graphic>
          </wp:inline>
        </w:drawing>
      </w:r>
    </w:p>
    <w:p w:rsidR="005F73B0" w:rsidRDefault="005F73B0">
      <w:pPr>
        <w:rPr>
          <w:b/>
          <w:sz w:val="32"/>
          <w:szCs w:val="32"/>
          <w:u w:val="single"/>
        </w:rPr>
      </w:pPr>
      <w:r>
        <w:rPr>
          <w:noProof/>
        </w:rPr>
        <w:drawing>
          <wp:inline distT="0" distB="0" distL="0" distR="0" wp14:anchorId="5C1E10AE" wp14:editId="51E99F90">
            <wp:extent cx="4781550" cy="121297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81550" cy="1212970"/>
                    </a:xfrm>
                    <a:prstGeom prst="rect">
                      <a:avLst/>
                    </a:prstGeom>
                  </pic:spPr>
                </pic:pic>
              </a:graphicData>
            </a:graphic>
          </wp:inline>
        </w:drawing>
      </w:r>
    </w:p>
    <w:p w:rsidR="005F73B0" w:rsidRDefault="00782E45">
      <w:pPr>
        <w:rPr>
          <w:rFonts w:ascii="Arial" w:hAnsi="Arial" w:cs="Arial"/>
          <w:b/>
          <w:u w:val="single"/>
        </w:rPr>
      </w:pPr>
      <w:r w:rsidRPr="00782E45">
        <w:rPr>
          <w:rFonts w:ascii="Arial" w:hAnsi="Arial" w:cs="Arial"/>
          <w:b/>
          <w:u w:val="single"/>
        </w:rPr>
        <w:t>Mediocre Credit (680-699)</w:t>
      </w:r>
    </w:p>
    <w:p w:rsidR="00782E45" w:rsidRDefault="00782E45">
      <w:pPr>
        <w:rPr>
          <w:rFonts w:ascii="Arial" w:hAnsi="Arial" w:cs="Arial"/>
          <w:b/>
          <w:u w:val="single"/>
        </w:rPr>
      </w:pPr>
      <w:r>
        <w:rPr>
          <w:noProof/>
        </w:rPr>
        <w:drawing>
          <wp:inline distT="0" distB="0" distL="0" distR="0" wp14:anchorId="79571D03" wp14:editId="69A17C40">
            <wp:extent cx="4781550" cy="28251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5995" cy="2833641"/>
                    </a:xfrm>
                    <a:prstGeom prst="rect">
                      <a:avLst/>
                    </a:prstGeom>
                  </pic:spPr>
                </pic:pic>
              </a:graphicData>
            </a:graphic>
          </wp:inline>
        </w:drawing>
      </w:r>
    </w:p>
    <w:p w:rsidR="00782E45" w:rsidRPr="00782E45" w:rsidRDefault="00782E45">
      <w:pPr>
        <w:rPr>
          <w:rFonts w:ascii="Arial" w:hAnsi="Arial" w:cs="Arial"/>
          <w:b/>
          <w:u w:val="single"/>
        </w:rPr>
      </w:pPr>
      <w:r>
        <w:rPr>
          <w:noProof/>
        </w:rPr>
        <w:drawing>
          <wp:inline distT="0" distB="0" distL="0" distR="0" wp14:anchorId="3723D0F6" wp14:editId="4602D032">
            <wp:extent cx="4714875" cy="1562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4875" cy="1562100"/>
                    </a:xfrm>
                    <a:prstGeom prst="rect">
                      <a:avLst/>
                    </a:prstGeom>
                  </pic:spPr>
                </pic:pic>
              </a:graphicData>
            </a:graphic>
          </wp:inline>
        </w:drawing>
      </w:r>
    </w:p>
    <w:sectPr w:rsidR="00782E45" w:rsidRPr="00782E45" w:rsidSect="00782E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B0"/>
    <w:rsid w:val="004B13ED"/>
    <w:rsid w:val="005F73B0"/>
    <w:rsid w:val="00782E45"/>
    <w:rsid w:val="00C6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0D8D"/>
  <w15:chartTrackingRefBased/>
  <w15:docId w15:val="{3B22EC74-AC17-46E5-A853-E7E77CB3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73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B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F73B0"/>
    <w:rPr>
      <w:b/>
      <w:bCs/>
    </w:rPr>
  </w:style>
  <w:style w:type="paragraph" w:styleId="NormalWeb">
    <w:name w:val="Normal (Web)"/>
    <w:basedOn w:val="Normal"/>
    <w:uiPriority w:val="99"/>
    <w:semiHidden/>
    <w:unhideWhenUsed/>
    <w:rsid w:val="005F73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44546">
      <w:bodyDiv w:val="1"/>
      <w:marLeft w:val="0"/>
      <w:marRight w:val="0"/>
      <w:marTop w:val="0"/>
      <w:marBottom w:val="0"/>
      <w:divBdr>
        <w:top w:val="none" w:sz="0" w:space="0" w:color="auto"/>
        <w:left w:val="none" w:sz="0" w:space="0" w:color="auto"/>
        <w:bottom w:val="none" w:sz="0" w:space="0" w:color="auto"/>
        <w:right w:val="none" w:sz="0" w:space="0" w:color="auto"/>
      </w:divBdr>
      <w:divsChild>
        <w:div w:id="1853489153">
          <w:marLeft w:val="0"/>
          <w:marRight w:val="75"/>
          <w:marTop w:val="0"/>
          <w:marBottom w:val="0"/>
          <w:divBdr>
            <w:top w:val="none" w:sz="0" w:space="0" w:color="auto"/>
            <w:left w:val="none" w:sz="0" w:space="0" w:color="auto"/>
            <w:bottom w:val="dotted" w:sz="6" w:space="3" w:color="999999"/>
            <w:right w:val="none" w:sz="0" w:space="0" w:color="auto"/>
          </w:divBdr>
          <w:divsChild>
            <w:div w:id="1263076158">
              <w:marLeft w:val="0"/>
              <w:marRight w:val="0"/>
              <w:marTop w:val="0"/>
              <w:marBottom w:val="0"/>
              <w:divBdr>
                <w:top w:val="single" w:sz="12" w:space="0" w:color="999999"/>
                <w:left w:val="none" w:sz="0" w:space="0" w:color="auto"/>
                <w:bottom w:val="none" w:sz="0" w:space="0" w:color="auto"/>
                <w:right w:val="none" w:sz="0" w:space="0" w:color="auto"/>
              </w:divBdr>
              <w:divsChild>
                <w:div w:id="635377169">
                  <w:marLeft w:val="0"/>
                  <w:marRight w:val="0"/>
                  <w:marTop w:val="0"/>
                  <w:marBottom w:val="0"/>
                  <w:divBdr>
                    <w:top w:val="none" w:sz="0" w:space="0" w:color="auto"/>
                    <w:left w:val="none" w:sz="0" w:space="0" w:color="auto"/>
                    <w:bottom w:val="none" w:sz="0" w:space="0" w:color="auto"/>
                    <w:right w:val="none" w:sz="0" w:space="0" w:color="auto"/>
                  </w:divBdr>
                </w:div>
                <w:div w:id="498547431">
                  <w:marLeft w:val="0"/>
                  <w:marRight w:val="0"/>
                  <w:marTop w:val="0"/>
                  <w:marBottom w:val="0"/>
                  <w:divBdr>
                    <w:top w:val="none" w:sz="0" w:space="0" w:color="auto"/>
                    <w:left w:val="none" w:sz="0" w:space="0" w:color="auto"/>
                    <w:bottom w:val="none" w:sz="0" w:space="0" w:color="auto"/>
                    <w:right w:val="none" w:sz="0" w:space="0" w:color="auto"/>
                  </w:divBdr>
                  <w:divsChild>
                    <w:div w:id="1623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Mansfield</dc:creator>
  <cp:keywords/>
  <dc:description/>
  <cp:lastModifiedBy>Katelyn Quinn</cp:lastModifiedBy>
  <cp:revision>2</cp:revision>
  <dcterms:created xsi:type="dcterms:W3CDTF">2019-05-13T15:52:00Z</dcterms:created>
  <dcterms:modified xsi:type="dcterms:W3CDTF">2021-05-25T23:54:00Z</dcterms:modified>
</cp:coreProperties>
</file>